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7C5" w:rsidRDefault="005E45D0" w:rsidP="00C447C5">
      <w:pPr>
        <w:spacing w:line="0" w:lineRule="atLeast"/>
        <w:ind w:right="40"/>
        <w:jc w:val="right"/>
        <w:rPr>
          <w:rFonts w:asciiTheme="minorHAnsi" w:hAnsiTheme="minorHAnsi" w:cstheme="minorHAnsi"/>
          <w:bCs/>
          <w:i/>
          <w:iCs/>
          <w:noProof w:val="0"/>
          <w:kern w:val="0"/>
          <w:sz w:val="20"/>
          <w:szCs w:val="20"/>
          <w:lang w:eastAsia="pl-PL" w:bidi="ar-SA"/>
        </w:rPr>
      </w:pPr>
      <w:r w:rsidRPr="006053B3">
        <w:rPr>
          <w:rFonts w:asciiTheme="minorHAnsi" w:hAnsiTheme="minorHAnsi" w:cstheme="minorHAnsi"/>
          <w:sz w:val="20"/>
          <w:szCs w:val="20"/>
        </w:rPr>
        <w:tab/>
      </w:r>
      <w:r w:rsidRPr="006053B3">
        <w:rPr>
          <w:rFonts w:asciiTheme="minorHAnsi" w:hAnsiTheme="minorHAnsi" w:cstheme="minorHAnsi"/>
          <w:sz w:val="20"/>
          <w:szCs w:val="20"/>
        </w:rPr>
        <w:tab/>
      </w:r>
      <w:r w:rsidRPr="006053B3">
        <w:rPr>
          <w:rFonts w:asciiTheme="minorHAnsi" w:hAnsiTheme="minorHAnsi" w:cstheme="minorHAnsi"/>
          <w:sz w:val="20"/>
          <w:szCs w:val="20"/>
        </w:rPr>
        <w:tab/>
      </w:r>
      <w:r w:rsidRPr="006053B3">
        <w:rPr>
          <w:rFonts w:asciiTheme="minorHAnsi" w:hAnsiTheme="minorHAnsi" w:cstheme="minorHAnsi"/>
          <w:sz w:val="20"/>
          <w:szCs w:val="20"/>
        </w:rPr>
        <w:tab/>
      </w:r>
      <w:r w:rsidR="00C447C5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</w:t>
      </w:r>
      <w:r w:rsidR="00C447C5">
        <w:rPr>
          <w:rFonts w:asciiTheme="minorHAnsi" w:hAnsiTheme="minorHAnsi" w:cstheme="minorHAnsi"/>
          <w:bCs/>
          <w:i/>
          <w:iCs/>
          <w:sz w:val="20"/>
          <w:szCs w:val="20"/>
        </w:rPr>
        <w:t>7</w:t>
      </w:r>
      <w:bookmarkStart w:id="0" w:name="_GoBack"/>
      <w:bookmarkEnd w:id="0"/>
      <w:r w:rsidR="00C447C5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do Ogłoszenia o naborze 2019/G/1</w:t>
      </w:r>
    </w:p>
    <w:p w:rsidR="00D525A9" w:rsidRPr="006053B3" w:rsidRDefault="00D525A9" w:rsidP="00D525A9">
      <w:pPr>
        <w:tabs>
          <w:tab w:val="left" w:pos="4125"/>
        </w:tabs>
        <w:jc w:val="center"/>
        <w:rPr>
          <w:rFonts w:ascii="Calibri" w:hAnsi="Calibri"/>
          <w:b/>
          <w:sz w:val="22"/>
          <w:szCs w:val="22"/>
        </w:rPr>
      </w:pPr>
    </w:p>
    <w:p w:rsidR="00D525A9" w:rsidRPr="006053B3" w:rsidRDefault="00D525A9" w:rsidP="00D525A9">
      <w:pPr>
        <w:pStyle w:val="Standard"/>
        <w:rPr>
          <w:rFonts w:ascii="Calibri" w:hAnsi="Calibri"/>
          <w:b/>
          <w:sz w:val="22"/>
          <w:szCs w:val="22"/>
          <w:lang w:val="pl-PL"/>
        </w:rPr>
      </w:pPr>
    </w:p>
    <w:p w:rsidR="001B33B1" w:rsidRPr="006053B3" w:rsidRDefault="001B33B1" w:rsidP="00D525A9">
      <w:pPr>
        <w:pStyle w:val="Standard"/>
        <w:rPr>
          <w:rFonts w:ascii="Calibri" w:eastAsia="Calibri, Calibri" w:hAnsi="Calibri" w:cs="Calibri, Calibri"/>
          <w:color w:val="000000"/>
          <w:sz w:val="20"/>
          <w:szCs w:val="20"/>
          <w:lang w:val="pl-PL"/>
        </w:rPr>
      </w:pPr>
      <w:r w:rsidRPr="006053B3">
        <w:rPr>
          <w:rFonts w:ascii="Calibri" w:eastAsia="Calibri, Calibri" w:hAnsi="Calibri" w:cs="Calibri, Calibri"/>
          <w:b/>
          <w:color w:val="000000"/>
          <w:sz w:val="22"/>
          <w:szCs w:val="22"/>
          <w:lang w:val="pl-PL"/>
        </w:rPr>
        <w:t>KATALOG MAKSYMALNYCH</w:t>
      </w:r>
      <w:r w:rsidR="0077329B" w:rsidRPr="006053B3">
        <w:rPr>
          <w:rFonts w:ascii="Calibri" w:eastAsia="Calibri, Calibri" w:hAnsi="Calibri" w:cs="Calibri, Calibri"/>
          <w:b/>
          <w:color w:val="000000"/>
          <w:sz w:val="22"/>
          <w:szCs w:val="22"/>
          <w:lang w:val="pl-PL"/>
        </w:rPr>
        <w:t xml:space="preserve"> STAWEK</w:t>
      </w:r>
    </w:p>
    <w:p w:rsidR="00D525A9" w:rsidRPr="006053B3" w:rsidRDefault="00D525A9" w:rsidP="00691974">
      <w:pPr>
        <w:pStyle w:val="Standard"/>
        <w:numPr>
          <w:ilvl w:val="0"/>
          <w:numId w:val="12"/>
        </w:numPr>
        <w:jc w:val="both"/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</w:pP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 xml:space="preserve">Stowarzyszenie Lokalna Grupa Działania Chełmno (dalej: LGD) w ramach Regionalnego Programu Operacyjnego Województwa Kujawsko-Pomorskiego na lata 2014-2020 określiło „Katalog maksymalnych stawek” (dalej: Katalog) obowiązujący dla wyżej wskazanego naboru wniosków. Wprowadzenie niniejszego mechanizmu ma zagwarantować jednolite podejście LGD do przeprowadzenia oceny budżetów przyjętych przez </w:t>
      </w:r>
      <w:r w:rsidR="00BA4151"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>Grantobiorców</w:t>
      </w: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 xml:space="preserve"> oraz służyć temu, aby zatwierdzone przez LGD wydatki były efektywne oraz poniesione w racjonalnej wysokości, tzn. niezawyżone w stosunku do stawek rynkowych, a także ponoszone zgodnie z zasadą należytego zarządzania finansami.</w:t>
      </w:r>
      <w:r w:rsidR="005F6B01" w:rsidRPr="006053B3">
        <w:rPr>
          <w:rFonts w:asciiTheme="minorHAnsi" w:eastAsia="Calibri, Calibri" w:hAnsiTheme="minorHAnsi" w:cstheme="minorHAnsi"/>
          <w:color w:val="000000"/>
          <w:sz w:val="20"/>
          <w:szCs w:val="20"/>
          <w:lang w:val="pl-PL"/>
        </w:rPr>
        <w:t xml:space="preserve"> </w:t>
      </w:r>
    </w:p>
    <w:p w:rsidR="005F6B01" w:rsidRPr="006053B3" w:rsidRDefault="005F6B01" w:rsidP="00691974">
      <w:pPr>
        <w:pStyle w:val="Akapitzlist"/>
        <w:numPr>
          <w:ilvl w:val="0"/>
          <w:numId w:val="12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>Kwoty ujęte w zestawieniu uwzględniają wartość brutto wydatku (z wyjątkiem wynagrodzeń, które są szacowane z uwzględnieniem kosztów pracodawcy).</w:t>
      </w:r>
    </w:p>
    <w:p w:rsidR="00BA4151" w:rsidRPr="006053B3" w:rsidRDefault="005F6B01" w:rsidP="00691974">
      <w:pPr>
        <w:pStyle w:val="Akapitzlist"/>
        <w:numPr>
          <w:ilvl w:val="0"/>
          <w:numId w:val="12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>Godzina ujęta w zestawieniu, co do zasady</w:t>
      </w:r>
      <w:r w:rsidR="0082612F" w:rsidRPr="006053B3">
        <w:rPr>
          <w:rFonts w:asciiTheme="minorHAnsi" w:hAnsiTheme="minorHAnsi" w:cstheme="minorHAnsi"/>
          <w:sz w:val="20"/>
          <w:szCs w:val="20"/>
        </w:rPr>
        <w:t>,</w:t>
      </w:r>
      <w:r w:rsidRPr="006053B3">
        <w:rPr>
          <w:rFonts w:asciiTheme="minorHAnsi" w:hAnsiTheme="minorHAnsi" w:cstheme="minorHAnsi"/>
          <w:sz w:val="20"/>
          <w:szCs w:val="20"/>
        </w:rPr>
        <w:t xml:space="preserve"> oznacza godzinę zegarową (tj. 60 minut), chyba że w zestawieniu wskazano inaczej.</w:t>
      </w:r>
    </w:p>
    <w:p w:rsidR="00BA4151" w:rsidRPr="006053B3" w:rsidRDefault="00D525A9" w:rsidP="00691974">
      <w:pPr>
        <w:pStyle w:val="Akapitzlist"/>
        <w:numPr>
          <w:ilvl w:val="0"/>
          <w:numId w:val="12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maksymalnym poziomie</w:t>
      </w:r>
      <w:r w:rsidR="006061F4" w:rsidRPr="006053B3">
        <w:rPr>
          <w:rFonts w:asciiTheme="minorHAnsi" w:hAnsiTheme="minorHAnsi" w:cstheme="minorHAnsi"/>
          <w:sz w:val="20"/>
          <w:szCs w:val="20"/>
        </w:rPr>
        <w:t xml:space="preserve">. </w:t>
      </w: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Przyjęcie stawki maksymalnej nie oznacza również, że będzie ona akceptowana przez LGD w każdym projekcie. Przy ocenie budżetu danego projektu będą brane pod uwagę m.in. takie czynniki, jak</w:t>
      </w:r>
      <w:r w:rsidR="0082612F"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:</w:t>
      </w:r>
      <w:r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 xml:space="preserve"> stopień złożoności projektu czy wielkość grupy docelowej oraz czy koszty poniesiono w wysokości racjonalnej odpowiadającej wartościom rynkowym towarów i usług.</w:t>
      </w:r>
      <w:r w:rsidR="005F6B01" w:rsidRPr="006053B3">
        <w:rPr>
          <w:rFonts w:asciiTheme="minorHAnsi" w:hAnsiTheme="minorHAnsi" w:cstheme="minorHAnsi"/>
          <w:sz w:val="20"/>
          <w:szCs w:val="20"/>
        </w:rPr>
        <w:t xml:space="preserve"> Grantobiorca winien uzasadnić ich racjonalność, załączając do wniosku o powierzenie grantu co najmniej 2 dokumenty uzasadniające przyjęty poziom cenowy (np. oferty cenowe, katalogi cenowe, wydruki ze stron www, itp.). Brak dokumentów uzasadniających poziom cen skutkuje uznaniem danego kosztu za niekwalifikowalny. Gra</w:t>
      </w:r>
      <w:r w:rsidR="00B63201" w:rsidRPr="006053B3">
        <w:rPr>
          <w:rFonts w:asciiTheme="minorHAnsi" w:hAnsiTheme="minorHAnsi" w:cstheme="minorHAnsi"/>
          <w:sz w:val="20"/>
          <w:szCs w:val="20"/>
        </w:rPr>
        <w:t>n</w:t>
      </w:r>
      <w:r w:rsidR="005F6B01" w:rsidRPr="006053B3">
        <w:rPr>
          <w:rFonts w:asciiTheme="minorHAnsi" w:hAnsiTheme="minorHAnsi" w:cstheme="minorHAnsi"/>
          <w:sz w:val="20"/>
          <w:szCs w:val="20"/>
        </w:rPr>
        <w:t>tobiorca może dodatkowo załączyć do wniosku o powierzenie grantu kalkulacje cenowe dot. np. kosztu zakupu materiałów na warsztaty dla uczestników</w:t>
      </w:r>
      <w:r w:rsidR="0082612F" w:rsidRPr="006053B3">
        <w:rPr>
          <w:rFonts w:asciiTheme="minorHAnsi" w:hAnsiTheme="minorHAnsi" w:cstheme="minorHAnsi"/>
          <w:sz w:val="20"/>
          <w:szCs w:val="20"/>
        </w:rPr>
        <w:t>,</w:t>
      </w:r>
      <w:r w:rsidR="005F6B01" w:rsidRPr="006053B3">
        <w:rPr>
          <w:rFonts w:asciiTheme="minorHAnsi" w:hAnsiTheme="minorHAnsi" w:cstheme="minorHAnsi"/>
          <w:sz w:val="20"/>
          <w:szCs w:val="20"/>
        </w:rPr>
        <w:t xml:space="preserve"> gdy koszt jest składową kilku elementów. </w:t>
      </w:r>
      <w:r w:rsidR="005F6B01"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Nie ma możliwości zaplanowania w projekcie stawek wyższych, niż przewidziane w Katalogu</w:t>
      </w:r>
      <w:r w:rsidR="005F6B01" w:rsidRPr="006053B3">
        <w:rPr>
          <w:rFonts w:asciiTheme="minorHAnsi" w:hAnsiTheme="minorHAnsi" w:cstheme="minorHAnsi"/>
          <w:sz w:val="20"/>
          <w:szCs w:val="20"/>
        </w:rPr>
        <w:t xml:space="preserve"> </w:t>
      </w:r>
      <w:r w:rsidR="005F6B01" w:rsidRPr="006053B3">
        <w:rPr>
          <w:rFonts w:asciiTheme="minorHAnsi" w:eastAsia="Calibri, Calibri" w:hAnsiTheme="minorHAnsi" w:cstheme="minorHAnsi"/>
          <w:color w:val="000000"/>
          <w:sz w:val="20"/>
          <w:szCs w:val="20"/>
        </w:rPr>
        <w:t>dla danych rodzajów kosztów.</w:t>
      </w:r>
    </w:p>
    <w:p w:rsidR="00BA4151" w:rsidRPr="006053B3" w:rsidRDefault="00D525A9" w:rsidP="00691974">
      <w:pPr>
        <w:pStyle w:val="Akapitzlist"/>
        <w:numPr>
          <w:ilvl w:val="0"/>
          <w:numId w:val="12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 xml:space="preserve">LGD zobowiązane jest do dokonywania oceny wydatków ujętych w budżetach projektów. </w:t>
      </w:r>
      <w:r w:rsidR="006061F4" w:rsidRPr="006053B3">
        <w:rPr>
          <w:rFonts w:asciiTheme="minorHAnsi" w:hAnsiTheme="minorHAnsi" w:cstheme="minorHAnsi"/>
          <w:sz w:val="20"/>
          <w:szCs w:val="20"/>
        </w:rPr>
        <w:t>LGD b</w:t>
      </w:r>
      <w:r w:rsidRPr="006053B3">
        <w:rPr>
          <w:rFonts w:asciiTheme="minorHAnsi" w:hAnsiTheme="minorHAnsi" w:cstheme="minorHAnsi"/>
          <w:sz w:val="20"/>
          <w:szCs w:val="20"/>
        </w:rPr>
        <w:t>ędzie weryfikować:</w:t>
      </w:r>
    </w:p>
    <w:p w:rsidR="00BA4151" w:rsidRPr="006053B3" w:rsidRDefault="00D525A9" w:rsidP="00691974">
      <w:pPr>
        <w:pStyle w:val="Akapitzlist"/>
        <w:numPr>
          <w:ilvl w:val="0"/>
          <w:numId w:val="13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 xml:space="preserve">kwalifikowalność wydatków pod kątem zgodności z </w:t>
      </w:r>
      <w:r w:rsidRPr="006053B3">
        <w:rPr>
          <w:rFonts w:asciiTheme="minorHAnsi" w:hAnsiTheme="minorHAnsi" w:cstheme="minorHAnsi"/>
          <w:i/>
          <w:iCs/>
          <w:sz w:val="20"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6053B3">
        <w:rPr>
          <w:rFonts w:asciiTheme="minorHAnsi" w:hAnsiTheme="minorHAnsi" w:cstheme="minorHAnsi"/>
          <w:sz w:val="20"/>
          <w:szCs w:val="20"/>
        </w:rPr>
        <w:t>,</w:t>
      </w:r>
    </w:p>
    <w:p w:rsidR="00BA4151" w:rsidRPr="006053B3" w:rsidRDefault="00D525A9" w:rsidP="00691974">
      <w:pPr>
        <w:pStyle w:val="Akapitzlist"/>
        <w:numPr>
          <w:ilvl w:val="0"/>
          <w:numId w:val="13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 xml:space="preserve">prawidłowość sporządzenia budżetu projektu, w szczególności: </w:t>
      </w:r>
    </w:p>
    <w:p w:rsidR="00D525A9" w:rsidRPr="006053B3" w:rsidRDefault="00D525A9" w:rsidP="00691974">
      <w:pPr>
        <w:pStyle w:val="Akapitzlist"/>
        <w:numPr>
          <w:ilvl w:val="0"/>
          <w:numId w:val="14"/>
        </w:num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053B3">
        <w:rPr>
          <w:rFonts w:asciiTheme="minorHAnsi" w:hAnsiTheme="minorHAnsi" w:cstheme="minorHAnsi"/>
          <w:sz w:val="20"/>
          <w:szCs w:val="20"/>
        </w:rPr>
        <w:t>niezbędność planowanych wydatków w budżecie projektu:</w:t>
      </w:r>
    </w:p>
    <w:p w:rsidR="00D525A9" w:rsidRPr="006053B3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>czy wynikają one bezpośrednio z opisanych działań oraz przyczyniają się do osiągnięcia produktów i rezultatów projektu,</w:t>
      </w:r>
    </w:p>
    <w:p w:rsidR="00D525A9" w:rsidRPr="006053B3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>c</w:t>
      </w:r>
      <w:r w:rsidRPr="006053B3">
        <w:rPr>
          <w:rFonts w:asciiTheme="minorHAnsi" w:eastAsia="F" w:hAnsiTheme="minorHAnsi" w:cstheme="minorHAnsi"/>
          <w:sz w:val="20"/>
          <w:szCs w:val="20"/>
          <w:lang w:val="pl-PL"/>
        </w:rPr>
        <w:t>zy nie ujęto wydatków, które wykazano jako potencjał wnioskodawcy (chyba że stanowią wkład własny),</w:t>
      </w:r>
    </w:p>
    <w:p w:rsidR="00D525A9" w:rsidRPr="006053B3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eastAsia="F" w:hAnsiTheme="minorHAnsi" w:cstheme="minorHAnsi"/>
          <w:sz w:val="20"/>
          <w:szCs w:val="20"/>
          <w:lang w:val="pl-PL"/>
        </w:rPr>
        <w:t>czy są adekwatne do zakresu i specyfiki projektu, czasu jego realizacji,</w:t>
      </w:r>
    </w:p>
    <w:p w:rsidR="00D525A9" w:rsidRPr="006053B3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 xml:space="preserve">czy są zgodne z </w:t>
      </w:r>
      <w:r w:rsidRPr="006053B3">
        <w:rPr>
          <w:rFonts w:asciiTheme="minorHAnsi" w:hAnsiTheme="minorHAnsi" w:cstheme="minorHAnsi"/>
          <w:i/>
          <w:sz w:val="20"/>
          <w:szCs w:val="20"/>
          <w:lang w:val="pl-PL"/>
        </w:rPr>
        <w:t>Wytycznymi w zakresie kwalifikowania wydatków w ramach Europejskiego Funduszu Rozwoju Regionalnego, Europejskiego Funduszu Społecznego oraz Funduszu Spójności na lata 2014-2020</w:t>
      </w:r>
      <w:r w:rsidRPr="006053B3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:rsidR="00D525A9" w:rsidRPr="006053B3" w:rsidRDefault="00D525A9" w:rsidP="0069197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eastAsia="F" w:hAnsiTheme="minorHAnsi" w:cstheme="minorHAnsi"/>
          <w:sz w:val="20"/>
          <w:szCs w:val="20"/>
          <w:lang w:val="pl-PL"/>
        </w:rPr>
        <w:t xml:space="preserve"> czy są zgodne z zapisami ogłoszenia o naborze.</w:t>
      </w:r>
    </w:p>
    <w:p w:rsidR="00D525A9" w:rsidRPr="006053B3" w:rsidRDefault="00D525A9" w:rsidP="0069197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D525A9" w:rsidRPr="006053B3" w:rsidRDefault="00D525A9" w:rsidP="0069197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 xml:space="preserve">Wszystkie wskazane powyżej kwestie oceniane są łącznie. LGD informuje, że w przypadku zidentyfikowania przez oceniającego wydatków niekwalifikowanych lub wydatków w wysokości zawyżonej w stosunku do stawek rynkowych, </w:t>
      </w:r>
      <w:r w:rsidR="00BA4151" w:rsidRPr="006053B3">
        <w:rPr>
          <w:rFonts w:asciiTheme="minorHAnsi" w:hAnsiTheme="minorHAnsi" w:cstheme="minorHAnsi"/>
          <w:noProof/>
          <w:sz w:val="20"/>
          <w:szCs w:val="20"/>
          <w:lang w:val="pl-PL"/>
        </w:rPr>
        <w:t>kwota</w:t>
      </w:r>
      <w:r w:rsidR="00BA4151" w:rsidRPr="006053B3">
        <w:rPr>
          <w:rFonts w:asciiTheme="minorHAnsi" w:hAnsiTheme="minorHAnsi" w:cstheme="minorHAnsi"/>
          <w:sz w:val="20"/>
          <w:szCs w:val="20"/>
          <w:lang w:val="pl-PL"/>
        </w:rPr>
        <w:t xml:space="preserve"> grantu może ulec zmniejszeniu.</w:t>
      </w:r>
    </w:p>
    <w:p w:rsidR="00D525A9" w:rsidRPr="006053B3" w:rsidRDefault="00D525A9" w:rsidP="00691974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053B3">
        <w:rPr>
          <w:rFonts w:asciiTheme="minorHAnsi" w:hAnsiTheme="minorHAnsi" w:cstheme="minorHAnsi"/>
          <w:sz w:val="20"/>
          <w:szCs w:val="20"/>
          <w:lang w:val="pl-PL"/>
        </w:rPr>
        <w:t>Mając na uwadze powyższe, przy planowaniu wydatków wnioskodawca powinien kierować się zasadą, aby ujęty w budżecie koszt był niezbędny do realizacji celów projektów i został dokonany w sposób przejrzysty, racjonalny i efektywny, z zachowaniem zasad uzyskiwania najlepszych efektów z danych nakładów.</w:t>
      </w:r>
    </w:p>
    <w:p w:rsidR="00D525A9" w:rsidRPr="006053B3" w:rsidRDefault="00D525A9" w:rsidP="00D525A9">
      <w:pPr>
        <w:pStyle w:val="Default"/>
        <w:rPr>
          <w:rFonts w:asciiTheme="minorHAnsi" w:hAnsiTheme="minorHAnsi" w:cstheme="minorHAnsi"/>
          <w:sz w:val="20"/>
          <w:szCs w:val="20"/>
          <w:lang w:val="pl-PL"/>
        </w:rPr>
      </w:pPr>
    </w:p>
    <w:p w:rsidR="00D525A9" w:rsidRPr="006053B3" w:rsidRDefault="00D525A9" w:rsidP="00D525A9">
      <w:pPr>
        <w:pStyle w:val="Default"/>
        <w:rPr>
          <w:rFonts w:ascii="Calibri" w:hAnsi="Calibri"/>
          <w:color w:val="FF0000"/>
          <w:sz w:val="22"/>
          <w:szCs w:val="22"/>
          <w:lang w:val="pl-PL"/>
        </w:rPr>
      </w:pPr>
    </w:p>
    <w:tbl>
      <w:tblPr>
        <w:tblW w:w="14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"/>
        <w:gridCol w:w="2647"/>
        <w:gridCol w:w="1560"/>
        <w:gridCol w:w="5228"/>
        <w:gridCol w:w="4031"/>
      </w:tblGrid>
      <w:tr w:rsidR="00D525A9" w:rsidRPr="006053B3" w:rsidTr="007442DE"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Nazwa kosztu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Maksymalny dopuszczalny koszt (W ZŁOTYCH)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b/>
                <w:bCs/>
                <w:sz w:val="22"/>
                <w:szCs w:val="22"/>
                <w:lang w:val="pl-PL"/>
              </w:rPr>
              <w:t>Podstawa kosztu/Wyjaśnienie</w:t>
            </w:r>
          </w:p>
        </w:tc>
      </w:tr>
      <w:tr w:rsidR="00D525A9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Psycholog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7442DE" w:rsidRDefault="00941E3D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  <w:r w:rsidR="006053B3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 etat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7442DE" w:rsidRDefault="00941E3D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100,00 zł</w:t>
            </w:r>
            <w:r w:rsidR="006053B3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 5000,00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941E3D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 oznacza 60 min.</w:t>
            </w:r>
          </w:p>
        </w:tc>
      </w:tr>
      <w:tr w:rsidR="00D525A9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Psychoterapia indywidualna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 przypadku porady psychologa/terapeuta </w:t>
            </w:r>
            <w:r w:rsidR="00941E3D"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“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Godzina” oznacza czas standardowej wizyty tj. 50 minut</w:t>
            </w:r>
          </w:p>
        </w:tc>
      </w:tr>
      <w:tr w:rsidR="00D525A9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Psychoterapia grupowa/rodzinna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EC5D37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 przypadku porady psychologa/terapeuta “Godzina” oznacza czas standardowej wizyty tj. 50 minut</w:t>
            </w:r>
          </w:p>
        </w:tc>
      </w:tr>
      <w:tr w:rsidR="00D525A9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Terapeuta zajęciowy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13E5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Miesiąc/etat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4 200,00 zł etat (wynagrodzenie brutto z uwzględnieniem kosztów pracodawcy)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D525A9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Poradnictwo specjalistyczne - logopeda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65,00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“Godzina” oznacza czas standardowej wizyty tj. 45 minut</w:t>
            </w:r>
          </w:p>
        </w:tc>
      </w:tr>
      <w:tr w:rsidR="006053B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53B3" w:rsidRPr="007442DE" w:rsidRDefault="006053B3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53B3" w:rsidRPr="007442DE" w:rsidRDefault="006053B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Poradnictwo specjalistyczne- terapia rodzinna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53B3" w:rsidRPr="007442DE" w:rsidRDefault="006053B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53B3" w:rsidRPr="007442DE" w:rsidRDefault="006053B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140,00 zł brutto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53B3" w:rsidRPr="006053B3" w:rsidRDefault="006053B3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  <w:t>-</w:t>
            </w:r>
          </w:p>
        </w:tc>
      </w:tr>
      <w:tr w:rsidR="00D525A9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Poradnictwo specjalistyczne inne – socjoterapia, hipoterapia, inne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80,00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B83055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D525A9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D525A9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Prawnik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25A9" w:rsidRPr="006053B3" w:rsidRDefault="00D525A9" w:rsidP="00E9427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  <w:r w:rsidR="00B83055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9E5833" w:rsidRPr="006053B3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Asystent osoby niepełnosprawnej/ opiekun osoby zależnej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0820" w:rsidRPr="007442DE" w:rsidRDefault="00990820" w:rsidP="007442DE">
            <w:pPr>
              <w:pStyle w:val="TableContents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Etat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Wynagrodzenie za pracę/stawka za godzinę pracy osób bezpośrednio świadczącej usługi społeczne w projekcie nie mogą być niższe od minimalnego wynagrodzenia za pracę/ minimalnej stawki godzinowej ustalonych na podstawie przepisów o minimalnym wynagrodzeniu za pracę. Zapis nie dotyczy osób świadczący</w:t>
            </w:r>
            <w:r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c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h usługi 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nieodpłatnie.</w:t>
            </w:r>
          </w:p>
          <w:p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3 800,00zł </w:t>
            </w:r>
            <w:r w:rsidR="00990820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(wynagrodzenie brutto z uwzględnieniem kosztów pracodawcy)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Wymagania:</w:t>
            </w:r>
          </w:p>
          <w:p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Warunkiem zatrudnienia AON jest ukończenie kształcenie w zawodzie asystenta osoby niepełnosprawnej zgodnie z rozporządzeniem Ministra Edukacji Narodowej z dnia 7 lutego 2012 r. w 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sprawie podstawy programowej kształcenia w zawodach (Dz.U. poz. 184, ze zm.).</w:t>
            </w:r>
          </w:p>
        </w:tc>
      </w:tr>
      <w:tr w:rsidR="009E5833" w:rsidRPr="006053B3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Rehabilitant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60,00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9E5833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Dietetyk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90,00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9E5833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Wynagrodzenie trenera pracy/tutora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70,00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9E5833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591E26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O</w:t>
            </w:r>
            <w:r w:rsidR="00990820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piekun</w:t>
            </w:r>
            <w:r w:rsidR="009E5833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klub</w:t>
            </w:r>
            <w:r w:rsidR="00990820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u</w:t>
            </w:r>
            <w:r w:rsidR="009E5833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młodzieżow</w:t>
            </w:r>
            <w:r w:rsidR="00990820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ego</w:t>
            </w:r>
            <w:r w:rsidR="009E5833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 świetlic</w:t>
            </w:r>
            <w:r w:rsidR="00990820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y</w:t>
            </w:r>
            <w:r w:rsidR="009E5833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środowiskow</w:t>
            </w:r>
            <w:r w:rsidR="00990820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3 000,00 zł etat (wynagrodzenie brutto z uwzględnieniem kosztów pracodawcy)</w:t>
            </w:r>
            <w:r w:rsidR="00990820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  <w:t>30,00 zł/ godzinę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Wymogi określone w standardzie klubu młodzieżowego</w:t>
            </w:r>
          </w:p>
        </w:tc>
      </w:tr>
      <w:tr w:rsidR="009E5833" w:rsidRPr="009E5833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Pielęgniarka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Etat</w:t>
            </w:r>
            <w:r w:rsidR="00771192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4 600,00 zł </w:t>
            </w:r>
            <w:r w:rsidR="00771192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/100,00 zł</w:t>
            </w:r>
            <w:r w:rsidR="007442DE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za godzinę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Wynagrodzenie brutto </w:t>
            </w:r>
            <w:r w:rsidR="00591E26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z uwzględnieniem </w:t>
            </w:r>
            <w:r w:rsidR="00990820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kosztów pracodawcy</w:t>
            </w:r>
          </w:p>
        </w:tc>
      </w:tr>
      <w:tr w:rsidR="00990820" w:rsidRPr="009E5833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0820" w:rsidRPr="007442DE" w:rsidRDefault="00990820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0820" w:rsidRPr="007442DE" w:rsidRDefault="00990820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Fizjoterapeuta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Etat</w:t>
            </w:r>
            <w:r w:rsidR="00771192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 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 5000,00 zł</w:t>
            </w:r>
            <w:r w:rsidR="00771192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/100,00 zł</w:t>
            </w:r>
            <w:r w:rsidR="007442DE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za godzinę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Wynagrodzenie brutto </w:t>
            </w:r>
            <w:r w:rsidR="00591E26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 uwzględnieniem kosztów pracodawcy</w:t>
            </w:r>
          </w:p>
        </w:tc>
      </w:tr>
      <w:tr w:rsidR="00990820" w:rsidRPr="009E5833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0820" w:rsidRPr="007442DE" w:rsidRDefault="00990820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0820" w:rsidRPr="007442DE" w:rsidRDefault="00990820" w:rsidP="009E5833">
            <w:pPr>
              <w:pStyle w:val="Standard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Trenerzy/ organizatorzy zajęć sportowych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0820" w:rsidRPr="007442DE" w:rsidRDefault="00990820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70,00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90820" w:rsidRPr="007442DE" w:rsidRDefault="00591E26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Transport – wynajem aut/ busa</w:t>
            </w:r>
            <w:r w:rsidR="00264B09" w:rsidRPr="007442DE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/autokaru</w:t>
            </w:r>
            <w:r w:rsidRPr="007442DE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 do </w:t>
            </w:r>
            <w:r w:rsidRPr="007442DE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przewożenia uczestników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Kilometr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7442DE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trike/>
                <w:sz w:val="22"/>
                <w:szCs w:val="22"/>
                <w:lang w:val="pl-PL"/>
              </w:rPr>
              <w:br/>
            </w: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4,50</w:t>
            </w:r>
            <w:r w:rsidR="00264B09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zł</w:t>
            </w:r>
            <w:r w:rsidR="00264B09"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/km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7442DE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Szkolenia/warsztaty/ spotkania/poradnictwo </w:t>
            </w:r>
            <w:r w:rsidR="00591E26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z zakresu instrumentów aktywizacji społecznej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Osoba/godzina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Koszt uzależniony od zaplanowanej liczby godzin zakresu wsparcia, przy czym:</w:t>
            </w:r>
          </w:p>
          <w:p w:rsidR="009E5833" w:rsidRPr="006053B3" w:rsidRDefault="009E5833" w:rsidP="009E583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maksymalny godzinowy koszt trenera, osoby prowadzącej to 100,00 zł brutto;</w:t>
            </w:r>
          </w:p>
          <w:p w:rsidR="009E5833" w:rsidRPr="006053B3" w:rsidRDefault="009E5833" w:rsidP="009E583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maksymalny dzienny koszt szkolenia 8-godzinnego w przypadku szkoleń zleconych (cena zawiera koszt trenera, sali, cateringu i materiałów) to 1500,00 zł brutto;</w:t>
            </w:r>
          </w:p>
          <w:p w:rsidR="009E5833" w:rsidRPr="006053B3" w:rsidRDefault="009E5833" w:rsidP="009E583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maksymalny koszt przerwy kawowej 15,00 zł </w:t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brutto (Wydatek nie powinien być kwalifikowany, jeżeli forma wsparcia w ramach której ma być świadczona przerwa kawowa dla tej samej grupy osób w danym dniu trwa krócej niż 4 godziny. Zakres: standardowa przerwa kawowa (kawa, herbata, woda, soki, ciastka, kanapki). Cena rynkowa powinna być uzależniona od rodzaju oferowanej usługi i jest niższa, jeśli finansowany jest mniejszy zakres usługi (np. kawa, herbata, woda, mleko, cukier cytryna bez drobnych lub słodkich przekąsek).</w:t>
            </w:r>
          </w:p>
          <w:p w:rsidR="009E5833" w:rsidRPr="006053B3" w:rsidRDefault="009E5833" w:rsidP="009E583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maksymalny koszt przerwy obiadowej 35,00 zł brutto (Wyżywienie (obiad)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</w:t>
            </w:r>
            <w:r w:rsidR="00591E2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 drugiego dania)</w:t>
            </w:r>
          </w:p>
          <w:p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przypadku tego rodzaju kosztu w uzasadnieniu pod budżetem należy wskazać informacje nt.:</w:t>
            </w:r>
          </w:p>
          <w:p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rodzaju planowanego instrumentu;</w:t>
            </w:r>
          </w:p>
          <w:p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przewidywanej liczby uczestników;</w:t>
            </w:r>
          </w:p>
          <w:p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przewidywanego czasu trwania – liczba godzin (w tym liczbę godzin wsparcia w ciągu dnia);</w:t>
            </w:r>
          </w:p>
          <w:p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podstawy oszacowania kosztu (np. doświadczenie </w:t>
            </w:r>
            <w:r w:rsidR="00591E2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 realizacji tego typu wsparcia oraz przykładowy katalog </w:t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kosztów z uwzględnieniem kosztów: trenera, cateringu, materiałów szkoleniowych).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Terapeuta np. uzależnień – umowa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cywilnoprawna</w:t>
            </w:r>
            <w:r w:rsidR="00264B09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/fv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115,00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-</w:t>
            </w:r>
          </w:p>
        </w:tc>
      </w:tr>
      <w:tr w:rsidR="009E5833" w:rsidRPr="006053B3" w:rsidTr="007442DE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Lider/ Animator lokalny – umowa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cywilnoprawna/fv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95,00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Specjaliści ds. resocjalizacji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70,00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Terapeuci grupowi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Warsztaty/zajęcia rękodzielnicze/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inne -prowadzący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70,00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Prowadzący zajęcia, warsztaty,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treningi profilaktyczne, terapeutyczne i inne niewyszczególnione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100,00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1E26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Poradnictwo pedagogiczne </w:t>
            </w:r>
          </w:p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i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psychologiczne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Zajęcia np. artystyczne,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usprawniające m.in. naukę czytania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60,00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C033CA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C033CA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C033CA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Bilety do kina/ teatru/ zoo/ basen/ </w:t>
            </w:r>
            <w:r w:rsidRPr="00C033CA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park rozrywki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C033CA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C033CA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Zgodnie z cennikiem danej instytucji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C033CA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rPr>
          <w:trHeight w:val="737"/>
        </w:trPr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Wynajem sal szkoleniowych: 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a)komputerowa z wyposażeniem ok. 8-15 osób;</w:t>
            </w:r>
          </w:p>
          <w:p w:rsidR="009E5833" w:rsidRPr="006053B3" w:rsidRDefault="009E5833" w:rsidP="009E5833">
            <w:pPr>
              <w:pStyle w:val="Standard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 xml:space="preserve">b)sala konferencyjna dla ok.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lastRenderedPageBreak/>
              <w:t>30-50 osób;</w:t>
            </w:r>
          </w:p>
          <w:p w:rsidR="009E5833" w:rsidRPr="006053B3" w:rsidRDefault="009E5833" w:rsidP="009E5833">
            <w:pPr>
              <w:pStyle w:val="Standard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c)sala szkoleniowa ok. 16-30 osób;</w:t>
            </w:r>
          </w:p>
          <w:p w:rsidR="009E5833" w:rsidRPr="006053B3" w:rsidRDefault="009E5833" w:rsidP="009E5833">
            <w:pPr>
              <w:pStyle w:val="Standard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d)sala szkoleniowa ok. 5-15 osób.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Godzina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a) 60,00 zł;</w:t>
            </w: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b) 80,00 zł;</w:t>
            </w: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c) 50,00 zł</w:t>
            </w:r>
            <w:r w:rsidR="00264B09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;</w:t>
            </w: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d) 40,00 zł</w:t>
            </w:r>
            <w:r w:rsidR="00264B09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 xml:space="preserve">Obejmuje koszt wynajmu sali wyposażonej zgodnie z potrzebami projektu, m.in. stoły, krzesła, tablice, flipchart lub tablice suchościeralne, bezprzewodowy dostęp do Internetu oraz koszty utrzymania sali, w 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lastRenderedPageBreak/>
              <w:t>tym energii elektrycznej.</w:t>
            </w:r>
          </w:p>
          <w:p w:rsidR="009E5833" w:rsidRPr="006053B3" w:rsidRDefault="009E5833" w:rsidP="009E5833">
            <w:pPr>
              <w:pStyle w:val="TableContents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- 1 godzina wynajmu należy rozumieć jako godzinę zegarową (60 min.).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Materiały piśmiennicze/szkoleniowe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Zestaw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7442DE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20,00 zł zestaw</w:t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 na uczestnika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wydatek kwalifikowalny, o ile jest to uzasadnione specyfiką realizowanego projektu;</w:t>
            </w:r>
          </w:p>
          <w:p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wydatek kwalifikowalny, o ile przewidziane są w ramach realizowanego projektu szkolenia/warsztaty/doradztwo;</w:t>
            </w:r>
          </w:p>
          <w:p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obejmuje zestaw składający się z teczki, notesu, długopisu, wydruków;</w:t>
            </w:r>
          </w:p>
          <w:p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cena rynkowa powinna być uzależniona od rodzaju oferowanej usługi i jest niższa, jeśli finansowany jest mniejszy zakres usługi (np. notes i długopis);</w:t>
            </w:r>
          </w:p>
          <w:p w:rsidR="009E5833" w:rsidRPr="006053B3" w:rsidRDefault="009E5833" w:rsidP="009E583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cena nie obejmuje kosztu logotypów (objęte są kosztami administracyjnymi).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Materiały warsztatowe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Zestaw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40,00 zł na uczestnika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 tym np. materiały na warsztaty rękodzielnicze, kulinarne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Wyżywienie (obiad)/lunch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Zestaw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35,00 zł na uczestnika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Zakres: obejmuje 2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</w:t>
            </w:r>
            <w:r w:rsid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z drugiego dania).</w:t>
            </w:r>
          </w:p>
        </w:tc>
      </w:tr>
      <w:tr w:rsidR="009E5833" w:rsidRPr="006053B3" w:rsidTr="007442DE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Nocleg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Osoba/sztuka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80,00 zł za osobę w pokoju dwuosobowym ze śniadaniem;</w:t>
            </w: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120,00 zł za osobę w pokoju jednoosobowym ze śniadaniem.</w:t>
            </w: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Obejmuje nocleg, co do zasady </w:t>
            </w:r>
            <w:r w:rsid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w pokojach 2- osobowych (nocleg </w:t>
            </w:r>
            <w:r w:rsid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 pokojach 1- osobowych jest kwalifikowalny tylko w uzasadnionych przypadkach).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Kolacja w przypadku organizacji </w:t>
            </w:r>
            <w:r w:rsidRPr="006053B3">
              <w:rPr>
                <w:rFonts w:asciiTheme="minorHAnsi" w:eastAsia="Mangal" w:hAnsiTheme="minorHAnsi" w:cstheme="minorHAnsi"/>
                <w:sz w:val="22"/>
                <w:szCs w:val="22"/>
                <w:lang w:val="pl-PL"/>
              </w:rPr>
              <w:t>wsparcia z noclegiem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Osoba/sztuka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30,00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 xml:space="preserve">Laptop wraz </w:t>
            </w:r>
            <w:r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z oprogramowaniem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2 800,00 zł/sztuka w przypadku jednorazowego odpisu amortyzacyjnego</w:t>
            </w:r>
          </w:p>
          <w:p w:rsidR="009E5833" w:rsidRPr="00B83055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- wydatek kwalifikowalny, o ile nabycie laptopa jest niezbędne w celu wspomagania procesu wdrażania projektu (udzielania wsparcia uczestnikom projektu), nie do obsługi </w:t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projektu (co jest finansowane w ramach kosztów administracyjnych). Konieczność zakupu urządzenia powinna zostać uzasadniona we wniosku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 dofinansowanie projektu; -wydatek kwalifikowalny w wysokości odpowiadającej odpisom amortyzacyjnym, zgodnie z pkt 4 podrozdziału 6.12.1 Wytycznych </w:t>
            </w:r>
            <w:r w:rsidR="00C033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 zakresie kwalifikowalności wydatków </w:t>
            </w:r>
            <w:r w:rsidR="00C033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ramach Europejskiego Funduszu Rozwoju Regionalnego, Europejskiego Funduszu Społecznego oraz Funduszu Spójności na lata 2014-2020;</w:t>
            </w:r>
          </w:p>
          <w:p w:rsidR="009E5833" w:rsidRPr="006053B3" w:rsidRDefault="009E5833" w:rsidP="009E583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- wydatek kwalifikowalny w przypadku, gdy wnioskodawca nie posiada wystarczającego zaplecza technicznego do udzielania </w:t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 xml:space="preserve">wsparcia uczestnikom projektu. Mając na uwadze powyższe konieczność dokonywania zakupu sprzętu może skutkować obniżeniem możliwej do uzyskania liczby punktów </w:t>
            </w:r>
            <w:r w:rsidR="00C033C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 ramach oceny potencjału wnioskodawcy; - wydatek kwalifikowalny, o ile laptop posiada parametry biurowe z oprogramowaniem systemowym i podstawowym pakietem biurowym (licencja na 12 miesięcy);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Projektor multimedialny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2 400,00 zł/sztuka w przypadku jednorazowego odpisu amortyzacyjnego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wydatek kwalifikowalny, o ile nabycie projektora multimedialnego jest niezbędne w celu wspomagania procesu wdrażania. Konieczność zakupu urządzenia powinna zostać uzasadniona w części wniosku dostępnej pod budżetem szczegółowym;</w:t>
            </w: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Ekran projekcyjny</w:t>
            </w: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430,00 zł/sztuka w przypadku jednorazowego odpisu amortyzacyjnego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- wydatek kwalifikowalny, o ile nabycie ekranu projekcyjnego jest niezbędne </w:t>
            </w:r>
            <w:r w:rsidR="00C033CA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br/>
            </w: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w celu wspomagania procesu wdrażania. Konieczność zakupu urządzenia powinna zostać uzasadniona w części wniosku dostępnej pod budżetem szczegółowym;</w:t>
            </w: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Urządzenie wielofunkcyjne</w:t>
            </w: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1500 zł/sztuka w przypadku jednorazowego odpisu amortyzacyjnego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 xml:space="preserve">- wydatek kwalifikowalny, o ile nabycie urządzenia wielofunkcyjnego jest niezbędne w celu wspomagania procesu wdrażania projektu (udzielania wsparcia uczestnikom projektu). Konieczność zakupu urządzenia powinna zostać </w:t>
            </w: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uzasadniona w części wniosku dostępnej pod budżetem szczegółowym;</w:t>
            </w: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wydatek kwalifikowalny w przypadku, gdy wnioskodawca nie posiada wystarczającego zaplecza technicznego do udzielania wsparcia uczestnikom projektu;</w:t>
            </w: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 wydatek kwalifikowalny, o ile urządzenie posiada min. funkcję druku, kserokopiarki, skanera;</w:t>
            </w:r>
          </w:p>
        </w:tc>
      </w:tr>
      <w:tr w:rsidR="009E5833" w:rsidRPr="006053B3" w:rsidTr="007442DE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Drukarka</w:t>
            </w: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400,00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Standard"/>
              <w:jc w:val="center"/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Liberation Sans" w:hAnsiTheme="minorHAnsi" w:cstheme="minorHAnsi"/>
                <w:sz w:val="22"/>
                <w:szCs w:val="22"/>
                <w:lang w:val="pl-PL"/>
              </w:rPr>
              <w:t>Mikrofon</w:t>
            </w:r>
          </w:p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200,00 zł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Kamera cyfrowa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1 400,00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Aparat fotograficzny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800,00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Aparat cyfrowy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Tablica flipchart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350,00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Tablica magnetyczna, suchościeralna</w:t>
            </w:r>
          </w:p>
        </w:tc>
      </w:tr>
      <w:tr w:rsidR="009E5833" w:rsidRPr="006053B3" w:rsidTr="007442DE"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numPr>
                <w:ilvl w:val="0"/>
                <w:numId w:val="8"/>
              </w:numPr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Tablica magnetyczna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Sztuka</w:t>
            </w:r>
          </w:p>
        </w:tc>
        <w:tc>
          <w:tcPr>
            <w:tcW w:w="52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200,00 zł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5833" w:rsidRPr="006053B3" w:rsidRDefault="009E5833" w:rsidP="009E5833">
            <w:pPr>
              <w:pStyle w:val="TableContents"/>
              <w:jc w:val="center"/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</w:pPr>
            <w:r w:rsidRPr="006053B3">
              <w:rPr>
                <w:rFonts w:asciiTheme="minorHAnsi" w:eastAsia="Calibri, Calibri" w:hAnsiTheme="minorHAnsi" w:cstheme="minorHAnsi"/>
                <w:sz w:val="22"/>
                <w:szCs w:val="22"/>
                <w:lang w:val="pl-PL"/>
              </w:rPr>
              <w:t>Minimalne wymiary 120 cm x 90 cm, powierzchnia suchościeralna</w:t>
            </w:r>
          </w:p>
        </w:tc>
      </w:tr>
    </w:tbl>
    <w:p w:rsidR="00C56B73" w:rsidRPr="006053B3" w:rsidRDefault="00C56B73">
      <w:pPr>
        <w:rPr>
          <w:rFonts w:ascii="Calibri" w:eastAsia="Calibri, Calibri" w:hAnsi="Calibri" w:cs="Calibri, Calibri"/>
          <w:noProof w:val="0"/>
          <w:color w:val="000000"/>
          <w:sz w:val="22"/>
          <w:szCs w:val="22"/>
        </w:rPr>
      </w:pPr>
    </w:p>
    <w:p w:rsidR="00F073CB" w:rsidRPr="006053B3" w:rsidRDefault="00F073CB">
      <w:pPr>
        <w:rPr>
          <w:rFonts w:asciiTheme="minorHAnsi" w:hAnsiTheme="minorHAnsi" w:cstheme="minorHAnsi"/>
          <w:sz w:val="20"/>
          <w:szCs w:val="20"/>
        </w:rPr>
      </w:pPr>
    </w:p>
    <w:sectPr w:rsidR="00F073CB" w:rsidRPr="006053B3" w:rsidSect="007D0A1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371" w:rsidRDefault="007E3371" w:rsidP="007D0A19">
      <w:r>
        <w:separator/>
      </w:r>
    </w:p>
  </w:endnote>
  <w:endnote w:type="continuationSeparator" w:id="0">
    <w:p w:rsidR="007E3371" w:rsidRDefault="007E3371" w:rsidP="007D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Calibri">
    <w:altName w:val="Calibri"/>
    <w:charset w:val="00"/>
    <w:family w:val="swiss"/>
    <w:pitch w:val="default"/>
  </w:font>
  <w:font w:name="F">
    <w:charset w:val="00"/>
    <w:family w:val="roman"/>
    <w:pitch w:val="default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371" w:rsidRDefault="007E3371" w:rsidP="007D0A19">
      <w:r>
        <w:separator/>
      </w:r>
    </w:p>
  </w:footnote>
  <w:footnote w:type="continuationSeparator" w:id="0">
    <w:p w:rsidR="007E3371" w:rsidRDefault="007E3371" w:rsidP="007D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A19" w:rsidRDefault="00620E7E" w:rsidP="007D0A19">
    <w:pPr>
      <w:pStyle w:val="Nagwek"/>
      <w:jc w:val="center"/>
    </w:pPr>
    <w:r>
      <w:rPr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-120218</wp:posOffset>
          </wp:positionV>
          <wp:extent cx="5541792" cy="694901"/>
          <wp:effectExtent l="0" t="0" r="190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do proced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792" cy="694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542"/>
    <w:multiLevelType w:val="multilevel"/>
    <w:tmpl w:val="F5F44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356CB4"/>
    <w:multiLevelType w:val="hybridMultilevel"/>
    <w:tmpl w:val="711A5980"/>
    <w:lvl w:ilvl="0" w:tplc="0A1417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6F9"/>
    <w:multiLevelType w:val="multilevel"/>
    <w:tmpl w:val="45F42C1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9244C01"/>
    <w:multiLevelType w:val="hybridMultilevel"/>
    <w:tmpl w:val="AF5E16DE"/>
    <w:lvl w:ilvl="0" w:tplc="99E8DC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A4F16"/>
    <w:multiLevelType w:val="multilevel"/>
    <w:tmpl w:val="970E7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6366800"/>
    <w:multiLevelType w:val="hybridMultilevel"/>
    <w:tmpl w:val="325C411C"/>
    <w:lvl w:ilvl="0" w:tplc="2A8A59D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08B64FB"/>
    <w:multiLevelType w:val="hybridMultilevel"/>
    <w:tmpl w:val="9A24C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1B03"/>
    <w:multiLevelType w:val="hybridMultilevel"/>
    <w:tmpl w:val="137CD8C4"/>
    <w:lvl w:ilvl="0" w:tplc="43929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01CC"/>
    <w:multiLevelType w:val="hybridMultilevel"/>
    <w:tmpl w:val="3A54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22B35"/>
    <w:multiLevelType w:val="hybridMultilevel"/>
    <w:tmpl w:val="043E3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93528"/>
    <w:multiLevelType w:val="multilevel"/>
    <w:tmpl w:val="FA80BF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C2253F5"/>
    <w:multiLevelType w:val="multilevel"/>
    <w:tmpl w:val="39D2A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32677E0"/>
    <w:multiLevelType w:val="hybridMultilevel"/>
    <w:tmpl w:val="2668A85A"/>
    <w:lvl w:ilvl="0" w:tplc="2A8A5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9560C"/>
    <w:multiLevelType w:val="hybridMultilevel"/>
    <w:tmpl w:val="A9BAE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941B9"/>
    <w:multiLevelType w:val="multilevel"/>
    <w:tmpl w:val="19E4C8D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4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A19"/>
    <w:rsid w:val="00003031"/>
    <w:rsid w:val="00011101"/>
    <w:rsid w:val="0001318C"/>
    <w:rsid w:val="00027FEC"/>
    <w:rsid w:val="0003517D"/>
    <w:rsid w:val="00036D39"/>
    <w:rsid w:val="00055ABF"/>
    <w:rsid w:val="00060B24"/>
    <w:rsid w:val="00075B4B"/>
    <w:rsid w:val="000A4760"/>
    <w:rsid w:val="000D0861"/>
    <w:rsid w:val="000E2308"/>
    <w:rsid w:val="000E3BE9"/>
    <w:rsid w:val="000F4E3B"/>
    <w:rsid w:val="0013554F"/>
    <w:rsid w:val="00175AE3"/>
    <w:rsid w:val="00175EC0"/>
    <w:rsid w:val="001829E3"/>
    <w:rsid w:val="001B33B1"/>
    <w:rsid w:val="001B7011"/>
    <w:rsid w:val="001B7CBE"/>
    <w:rsid w:val="001D6F7A"/>
    <w:rsid w:val="002062AA"/>
    <w:rsid w:val="00232E96"/>
    <w:rsid w:val="00264B09"/>
    <w:rsid w:val="002732AE"/>
    <w:rsid w:val="00296E78"/>
    <w:rsid w:val="002C556E"/>
    <w:rsid w:val="002F1A65"/>
    <w:rsid w:val="00311205"/>
    <w:rsid w:val="00311F40"/>
    <w:rsid w:val="00315DA3"/>
    <w:rsid w:val="00337EB8"/>
    <w:rsid w:val="00343B9D"/>
    <w:rsid w:val="003D17F0"/>
    <w:rsid w:val="0040791E"/>
    <w:rsid w:val="00414925"/>
    <w:rsid w:val="00430786"/>
    <w:rsid w:val="004416FE"/>
    <w:rsid w:val="00451D25"/>
    <w:rsid w:val="00456DC4"/>
    <w:rsid w:val="00482D24"/>
    <w:rsid w:val="00491AD6"/>
    <w:rsid w:val="004A317D"/>
    <w:rsid w:val="004B2105"/>
    <w:rsid w:val="004B6DA8"/>
    <w:rsid w:val="004C46E7"/>
    <w:rsid w:val="004C5403"/>
    <w:rsid w:val="00533347"/>
    <w:rsid w:val="00557A13"/>
    <w:rsid w:val="005704C2"/>
    <w:rsid w:val="005873D3"/>
    <w:rsid w:val="00591E26"/>
    <w:rsid w:val="005A30A8"/>
    <w:rsid w:val="005C2CD8"/>
    <w:rsid w:val="005E0E77"/>
    <w:rsid w:val="005E3C33"/>
    <w:rsid w:val="005E45D0"/>
    <w:rsid w:val="005F6B01"/>
    <w:rsid w:val="006053B3"/>
    <w:rsid w:val="00605509"/>
    <w:rsid w:val="006061F4"/>
    <w:rsid w:val="006109F0"/>
    <w:rsid w:val="00620E7E"/>
    <w:rsid w:val="00621067"/>
    <w:rsid w:val="006555A1"/>
    <w:rsid w:val="00657A15"/>
    <w:rsid w:val="00677B66"/>
    <w:rsid w:val="00683043"/>
    <w:rsid w:val="00691974"/>
    <w:rsid w:val="006A58C2"/>
    <w:rsid w:val="006C63A4"/>
    <w:rsid w:val="006F239F"/>
    <w:rsid w:val="00702B5B"/>
    <w:rsid w:val="00722A68"/>
    <w:rsid w:val="00734BC2"/>
    <w:rsid w:val="00735EBD"/>
    <w:rsid w:val="007400C4"/>
    <w:rsid w:val="007442DE"/>
    <w:rsid w:val="00771192"/>
    <w:rsid w:val="00771431"/>
    <w:rsid w:val="0077329B"/>
    <w:rsid w:val="007D0A19"/>
    <w:rsid w:val="007E3371"/>
    <w:rsid w:val="008041AB"/>
    <w:rsid w:val="00824983"/>
    <w:rsid w:val="0082612F"/>
    <w:rsid w:val="00863BDA"/>
    <w:rsid w:val="008756D4"/>
    <w:rsid w:val="00895A62"/>
    <w:rsid w:val="008F44BA"/>
    <w:rsid w:val="00933F26"/>
    <w:rsid w:val="00941E3D"/>
    <w:rsid w:val="00947F86"/>
    <w:rsid w:val="009734EB"/>
    <w:rsid w:val="00973709"/>
    <w:rsid w:val="00984849"/>
    <w:rsid w:val="00990820"/>
    <w:rsid w:val="009A4AA9"/>
    <w:rsid w:val="009A4D1B"/>
    <w:rsid w:val="009C4DF8"/>
    <w:rsid w:val="009E291C"/>
    <w:rsid w:val="009E5833"/>
    <w:rsid w:val="009F0CC5"/>
    <w:rsid w:val="00A16BEE"/>
    <w:rsid w:val="00A22FD3"/>
    <w:rsid w:val="00A44B0B"/>
    <w:rsid w:val="00A52027"/>
    <w:rsid w:val="00A52C6D"/>
    <w:rsid w:val="00AD2E43"/>
    <w:rsid w:val="00B27EDA"/>
    <w:rsid w:val="00B5579A"/>
    <w:rsid w:val="00B63201"/>
    <w:rsid w:val="00B83055"/>
    <w:rsid w:val="00B8338E"/>
    <w:rsid w:val="00B8754D"/>
    <w:rsid w:val="00B94452"/>
    <w:rsid w:val="00B955E9"/>
    <w:rsid w:val="00BA01E5"/>
    <w:rsid w:val="00BA4151"/>
    <w:rsid w:val="00BE3CD7"/>
    <w:rsid w:val="00C033CA"/>
    <w:rsid w:val="00C216CE"/>
    <w:rsid w:val="00C447C5"/>
    <w:rsid w:val="00C55A9F"/>
    <w:rsid w:val="00C56B73"/>
    <w:rsid w:val="00C81E09"/>
    <w:rsid w:val="00C955B1"/>
    <w:rsid w:val="00CC35DE"/>
    <w:rsid w:val="00CC4BAF"/>
    <w:rsid w:val="00CD4379"/>
    <w:rsid w:val="00D13E53"/>
    <w:rsid w:val="00D33FB6"/>
    <w:rsid w:val="00D525A9"/>
    <w:rsid w:val="00D727C8"/>
    <w:rsid w:val="00D82367"/>
    <w:rsid w:val="00D92955"/>
    <w:rsid w:val="00DE01D9"/>
    <w:rsid w:val="00DF0308"/>
    <w:rsid w:val="00E20EE1"/>
    <w:rsid w:val="00E35BBF"/>
    <w:rsid w:val="00E53C6F"/>
    <w:rsid w:val="00E701BC"/>
    <w:rsid w:val="00E77E82"/>
    <w:rsid w:val="00E86EE6"/>
    <w:rsid w:val="00E8799A"/>
    <w:rsid w:val="00E92D92"/>
    <w:rsid w:val="00E94889"/>
    <w:rsid w:val="00E95C4A"/>
    <w:rsid w:val="00EB1E7A"/>
    <w:rsid w:val="00EC5D37"/>
    <w:rsid w:val="00EE7A28"/>
    <w:rsid w:val="00EF12E2"/>
    <w:rsid w:val="00F073CB"/>
    <w:rsid w:val="00F21C1B"/>
    <w:rsid w:val="00F26441"/>
    <w:rsid w:val="00F857B1"/>
    <w:rsid w:val="00F859A5"/>
    <w:rsid w:val="00F90F6F"/>
    <w:rsid w:val="00F94F11"/>
    <w:rsid w:val="00F9557A"/>
    <w:rsid w:val="00FE221B"/>
    <w:rsid w:val="00FE58DD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DC4AC"/>
  <w15:docId w15:val="{2B50304E-A43C-425E-B1B2-455661BB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0A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noProof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D0A1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qFormat/>
    <w:locked/>
    <w:rsid w:val="007D0A1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0A1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0A1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0A1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0A1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F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4B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4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4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A9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A9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E95C4A"/>
    <w:pPr>
      <w:spacing w:after="0" w:line="240" w:lineRule="auto"/>
    </w:pPr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D525A9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basedOn w:val="Standard"/>
    <w:rsid w:val="00D525A9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TableContents">
    <w:name w:val="Table Contents"/>
    <w:basedOn w:val="Standard"/>
    <w:rsid w:val="00D525A9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2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95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955"/>
    <w:rPr>
      <w:rFonts w:ascii="Liberation Serif" w:hAnsi="Liberation Serif" w:cs="Mangal"/>
      <w:noProof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955"/>
    <w:rPr>
      <w:rFonts w:ascii="Liberation Serif" w:hAnsi="Liberation Serif" w:cs="Mangal"/>
      <w:b/>
      <w:bCs/>
      <w:noProof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D5E6-DD3F-4850-8A89-E7563811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1989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cp:keywords/>
  <dc:description/>
  <cp:lastModifiedBy>LGD</cp:lastModifiedBy>
  <cp:revision>6</cp:revision>
  <dcterms:created xsi:type="dcterms:W3CDTF">2019-12-18T07:44:00Z</dcterms:created>
  <dcterms:modified xsi:type="dcterms:W3CDTF">2019-12-18T12:02:00Z</dcterms:modified>
</cp:coreProperties>
</file>